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6C667" w14:textId="1967B06B" w:rsidR="0093157A" w:rsidRDefault="0093157A" w:rsidP="00A45500">
      <w:pPr>
        <w:spacing w:after="0" w:line="276" w:lineRule="auto"/>
        <w:rPr>
          <w:rFonts w:cstheme="minorHAnsi"/>
          <w:sz w:val="24"/>
          <w:szCs w:val="24"/>
        </w:rPr>
      </w:pPr>
      <w:bookmarkStart w:id="0" w:name="_GoBack"/>
      <w:bookmarkEnd w:id="0"/>
      <w:r w:rsidRPr="0093157A">
        <w:rPr>
          <w:rFonts w:cstheme="minorHAnsi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3526B41A" wp14:editId="739C65C1">
            <wp:simplePos x="0" y="0"/>
            <wp:positionH relativeFrom="column">
              <wp:posOffset>-102197</wp:posOffset>
            </wp:positionH>
            <wp:positionV relativeFrom="paragraph">
              <wp:posOffset>588</wp:posOffset>
            </wp:positionV>
            <wp:extent cx="5760720" cy="579120"/>
            <wp:effectExtent l="0" t="0" r="0" b="0"/>
            <wp:wrapSquare wrapText="bothSides"/>
            <wp:docPr id="587604329" name="Obraz 2" descr="Na obrazku znajdują się następujące elemnety: od lewej napis Fundusze Europejskie dla Łódzkiego wraz z  symbolem, drugi napis to Rzeczpospolita Polska wraz z flagą biało-czerwoną, trzeci napis to napis Dofinansowane przez Unię Europejską wraz z flagą Unii Europejskiej, ostatni z prawej strony oficjalne logo promocyjne Województwa Łódzkiego wraz z symbolem" title="Opis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04329" name="Obraz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3658BF" w14:textId="7F46176D" w:rsidR="0093157A" w:rsidRPr="0093157A" w:rsidRDefault="0093157A" w:rsidP="00A45500">
      <w:pPr>
        <w:pStyle w:val="Nagwek1"/>
        <w:keepLines w:val="0"/>
        <w:tabs>
          <w:tab w:val="left" w:pos="426"/>
        </w:tabs>
        <w:spacing w:before="0" w:after="0" w:line="276" w:lineRule="auto"/>
        <w:rPr>
          <w:rFonts w:asciiTheme="minorHAnsi" w:eastAsia="Arial Unicode MS" w:hAnsiTheme="minorHAnsi" w:cs="Times New Roman"/>
          <w:b/>
          <w:bCs/>
          <w:color w:val="auto"/>
          <w:kern w:val="32"/>
          <w:sz w:val="24"/>
          <w:szCs w:val="24"/>
          <w:u w:color="000000"/>
          <w:lang w:eastAsia="pl-PL"/>
          <w14:ligatures w14:val="none"/>
        </w:rPr>
      </w:pPr>
      <w:r w:rsidRPr="0093157A">
        <w:rPr>
          <w:rFonts w:asciiTheme="minorHAnsi" w:eastAsia="Arial Unicode MS" w:hAnsiTheme="minorHAnsi" w:cs="Times New Roman"/>
          <w:b/>
          <w:bCs/>
          <w:color w:val="auto"/>
          <w:kern w:val="32"/>
          <w:sz w:val="24"/>
          <w:szCs w:val="24"/>
          <w:u w:color="000000"/>
          <w:lang w:eastAsia="pl-PL"/>
          <w14:ligatures w14:val="none"/>
        </w:rPr>
        <w:t xml:space="preserve">Załącznik nr 1 do zapytania </w:t>
      </w:r>
    </w:p>
    <w:p w14:paraId="5F579243" w14:textId="77777777" w:rsidR="0093157A" w:rsidRDefault="0093157A" w:rsidP="00A45500">
      <w:pPr>
        <w:spacing w:after="0" w:line="276" w:lineRule="auto"/>
        <w:rPr>
          <w:rFonts w:cstheme="minorHAnsi"/>
          <w:sz w:val="24"/>
          <w:szCs w:val="24"/>
        </w:rPr>
      </w:pPr>
    </w:p>
    <w:p w14:paraId="4846D234" w14:textId="1C967ACE" w:rsidR="0093157A" w:rsidRPr="0093157A" w:rsidRDefault="0093157A" w:rsidP="00A45500">
      <w:pPr>
        <w:pStyle w:val="Nagwek2"/>
        <w:spacing w:before="0" w:after="0"/>
      </w:pPr>
      <w:r w:rsidRPr="0093157A">
        <w:t>Opis przedmiotu zamówienia</w:t>
      </w:r>
    </w:p>
    <w:p w14:paraId="573A7DDB" w14:textId="7B56188B" w:rsidR="0093157A" w:rsidRPr="0093157A" w:rsidRDefault="0093157A" w:rsidP="00A45500">
      <w:pPr>
        <w:spacing w:after="0" w:line="276" w:lineRule="auto"/>
        <w:rPr>
          <w:rFonts w:cstheme="minorHAnsi"/>
          <w:sz w:val="24"/>
          <w:szCs w:val="24"/>
        </w:rPr>
      </w:pPr>
    </w:p>
    <w:p w14:paraId="092CB390" w14:textId="5FDE2D0A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Przedmiotem zamówienia jest wykonanie wielobranżowej dokumentacji projektowo – kosztorysowej wraz z uzyskaniem pozwolenia na budowę dla zadania inwestycyjnego pn. „Przywrócenie funkcji społecznych i gospodarczych centrum osiedla Podklasztorze oraz rewitalizacja zabytkowego budynku Ochotniczej Straży Pożarnej w Sulejowie” na działkach nr ewid. 199/1, 199/3, 199/4 </w:t>
      </w:r>
      <w:proofErr w:type="gram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i</w:t>
      </w:r>
      <w:proofErr w:type="gram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199/6 obręb 4 miasto Sulejów, w ramach dofinansowania FELD.05.02-IZ.00-0019/25-00 </w:t>
      </w:r>
      <w:proofErr w:type="gram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współfinansowanego</w:t>
      </w:r>
      <w:proofErr w:type="gram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ze środków Europejskiego Funduszu Rozwoju Regionalnego w ramach programu regionalnego Fundusze Europejskie dla Łódzkiego 2021-2027. Założenia projektowe zostały zawarte w Programie Funkcjonalno – Użytkowym (w załączeniu). Przedmiot zamówienia należy wykonać zgodnie z Programem Funkcjonalno Użytkowym oraz na </w:t>
      </w:r>
      <w:r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podstawie załączonej koncepcji </w:t>
      </w: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architektonicznej. Załączone zestawienie kosztów jest jedynie dokumentem pomocniczym sporządzonym na potrzeby PFU, a wykonawca musi wycenić sporządzenie dokumentacji projektowej na podstawie własnych wyliczeń w oparciu o PFU i koncepcję architektoniczną.  Dopuszcza się zmiany w dokumentacji projektowej w stosunku do zapisów zawartych w PFU i wniosku aplikacyjnym, pod warunkiem koniecznym uzgodnienia ich z Zamawiającym oraz uzyskaniem przez niego zgody Instytucji Zarządzającej na wprowadzenie zmian.</w:t>
      </w:r>
    </w:p>
    <w:p w14:paraId="12F142A7" w14:textId="7531E435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Zadanie inwestycyjne polega na zaprojektowaniu ogólnodostępnego obiektu użyteczności publicznej z wyodrębnioną częścią bojową na potrzeby działania Ochotniczej Straży Pożarnej wraz z zagospodarowaniem terenu i niezbędną infrastrukturą techniczną. Funkcja społeczna będzie </w:t>
      </w:r>
      <w:proofErr w:type="gram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zrealizowana</w:t>
      </w:r>
      <w:r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</w:t>
      </w: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jako</w:t>
      </w:r>
      <w:proofErr w:type="gram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świetlica miejska z salą wielofunkcyjną i zapleczem kuchennym, pom. socjalnymi, sanitarnymi, technicznymi. W ramach zamówienia należy zaprojektować m.in. pełne wyposażenie obiektu, w tym meble, sprzęt kuchenny, multimedialny, system nagłośnienia, pełen osprzęt sanitarny (suszarki do rąk, kosze na odpady), wyposażenie specjalistyczne dla OSP. W ramach zagospodarowania terenu należy przewidzieć m.in. rozbiórkę istniejących garaży, miejsca postojowe, tereny utwardzone w tym chodniki, zjazdy, nasadzenia zieleni, małą architekturę ze stojakami na rowery i strefą odpoczynku.</w:t>
      </w:r>
    </w:p>
    <w:p w14:paraId="4C96C201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 ramach infrastruktury technicznej należy zaprojektować budowę lub przebudowę infrastruktury w uzgodnieniu z zarządcami sieci oraz usunąć ewentualne kolizje.</w:t>
      </w:r>
    </w:p>
    <w:p w14:paraId="4E9D8930" w14:textId="160CAA56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Wymagania niezbędne do zastosowania w dokumentacji projektowej wynikające z dokumentacji aplikacyjnej:</w:t>
      </w:r>
    </w:p>
    <w:p w14:paraId="0CA4D4B3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Uniwersalne projektowanie</w:t>
      </w:r>
    </w:p>
    <w:p w14:paraId="2A809DD6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lastRenderedPageBreak/>
        <w:t>Projekt jest zgodny z zasadami uniwersalnego projektowania, co oznacza eliminację barier architektonicznych i zapewnienie dostępności budynku oraz jego otoczenia dla wszystkich grup społecznych, w tym osób z niepełnosprawnościami.</w:t>
      </w:r>
    </w:p>
    <w:p w14:paraId="2333E72C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Dostępność architektoniczna</w:t>
      </w:r>
    </w:p>
    <w:p w14:paraId="193840F4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Wszystkie elementy budynku zostały zaprojektowane tak, aby umożliwić ich użytkowanie osobom z ograniczeniami ruchowymi, w tym osobom poruszającym się na wózkach inwalidzkich. Przewidziano </w:t>
      </w:r>
      <w:proofErr w:type="spell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bezprogowe</w:t>
      </w:r>
      <w:proofErr w:type="spell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wejścia do budynku oraz szerokie ciągi komunikacyjne umożliwiające swobodne poruszanie się. W dokumentacji uwzględniono toalety dostosowane do potrzeb osób z niepełnosprawnościami, wyposażone w odpowiednie uchwyty i przestrzeń manewrową.</w:t>
      </w:r>
    </w:p>
    <w:p w14:paraId="1E208C70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Dostępność przestrzeni zewnętrznej</w:t>
      </w:r>
    </w:p>
    <w:p w14:paraId="61B85637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Ciągi piesze i dojścia do budynku będą wyposażone w antypoślizgowe nawierzchnie oraz zaprojektowane z odpowiednimi spadkami. W projekcie uwzględniono miejsca parkingowe dla osób z niepełnosprawnościami, zlokalizowane w bezpośrednim sąsiedztwie wejść do budynku.</w:t>
      </w:r>
    </w:p>
    <w:p w14:paraId="77D0584A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Oznaczenia i systemy wspierające</w:t>
      </w:r>
    </w:p>
    <w:p w14:paraId="0ED806B2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 kluczowych miejscach planowane jest zainstalowanie tablic informacyjnych dostosowanych do osób z różnymi potrzebami, w tym z niepełnosprawnością sensoryczną. W wyniku realizacji projektu przewiduje się zastosowanie następujących rozwiązań eliminujących bariery informacyjne:</w:t>
      </w:r>
    </w:p>
    <w:p w14:paraId="10859F3A" w14:textId="07EB3807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proofErr w:type="gram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napisy</w:t>
      </w:r>
      <w:proofErr w:type="gram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w alfabecie Braille’a, które umożliwią osobom niewidomym odczytywanie podstawowych informacji i oznaczeń, oznaczenia dotykowe na podłogach, wspierające samodzielne poruszanie się osób z dysfunkcją wzroku i ułatwiające orientację w przestrzeni,</w:t>
      </w:r>
    </w:p>
    <w:p w14:paraId="713A2F43" w14:textId="1F48E3DF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kontrastowe oznaczenia wizualne, poprawiające czytelność komunikatów i przestrzeni dla osób słabowidzących, uwzględnienie odpowiedniej kolorystyki, wzornictwa i faktury wykończeń z myślą o osobach z ograniczeniami </w:t>
      </w:r>
      <w:proofErr w:type="gram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wzroku – co</w:t>
      </w:r>
      <w:proofErr w:type="gram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zwiększa percepcję wizualną i bezpieczeństwo użytkowania.</w:t>
      </w:r>
    </w:p>
    <w:p w14:paraId="60340A36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 budynkach zastosowane będą systemy wizualno-dźwiękowe, ułatwiające orientację oraz korzystanie z obiektów osobom niesłyszącym i słabosłyszącym. Wszystkie obiekty będą zgodne z zasadami projektowania uniwersalnego, co oznacza, że będą dostępne i funkcjonalne dla wszystkich użytkowników bez konieczności późniejszych adaptacji.</w:t>
      </w:r>
    </w:p>
    <w:p w14:paraId="4778909C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Wszystkie obiekty, ciągi piesze, tereny zielone oraz instalacje techniczne zostaną dostosowane do potrzeb osób z niepełnosprawnościami, w tym poprzez budowę podjazdów, montaż wind, oznaczeń w alfabecie Braille’a oraz systemów dźwiękowych i wizualnych.</w:t>
      </w:r>
    </w:p>
    <w:p w14:paraId="77508616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Zasada zrównoważonego rozwoju</w:t>
      </w:r>
    </w:p>
    <w:p w14:paraId="6734FCE4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Modernizacja infrastruktury w zgodzie z zasadami zrównoważonego rozwoju wspiera innowacyjne rozwiązania, takie jak instalacja paneli fotowoltaicznych oraz nowoczesnych systemów zarządzania wodą i energią. Zastosowanie energooszczędnych technologii, takich jak odnawialne źródła energii i systemy redukcji emisji gazów cieplarnianych, instalacja pompy ciepła oraz paneli fotowoltaicznych, energooszczędne instalacje oświetleniowe oraz systemy retencji wody a także wykorzystanie materiałów o wysokiej izolacyjności cieplnej.</w:t>
      </w:r>
    </w:p>
    <w:p w14:paraId="76D69D41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lastRenderedPageBreak/>
        <w:t xml:space="preserve">Dodatkowo projekt przewiduje stosowanie odpowiednich procedur utylizacji odpadów budowlanych i modernizacyjnych, co minimalizuje wpływ inwestycji na środowisko. </w:t>
      </w:r>
    </w:p>
    <w:p w14:paraId="225BAC11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Zielone zamówienia</w:t>
      </w:r>
    </w:p>
    <w:p w14:paraId="31E4DFEB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 projekcie planuje się zastosowanie zielonych zamówień. Realizacja tego założenia polega na uwzględnieniu kryteriów ekologicznych na etapie przygotowania i przeprowadzania procedur przetargowych, zgodnie z ideą zrównoważonego rozwoju i minimalizowania wpływu inwestycji na środowisko. W ramach zielonych zamówień w projekcie zastosowane zostaną następujące działania:</w:t>
      </w:r>
    </w:p>
    <w:p w14:paraId="346F08BF" w14:textId="4F0FA223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Uwzględnienie całego cyklu życia produktów: Przy wyborze materiałów budowlanych, urządzeń i technologii priorytetowo traktowane będą rozwiązania charakteryzujące się niską emisyjnością, wysoką efektywnością energetyczną oraz możliwością recyklingu po zakończeniu cyklu ich użytkowania.</w:t>
      </w:r>
    </w:p>
    <w:p w14:paraId="22AF6114" w14:textId="25CC03B7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Energooszczędność: W projektowanej infrastrukturze wykorzystane zostaną energooszczędne systemy oświetleniowe, np. lampy LED, oraz nowoczesne systemy zarządzania energią, co przyczyni się do ograniczenia zużycia energii.</w:t>
      </w:r>
    </w:p>
    <w:p w14:paraId="3D2C0000" w14:textId="4570453F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Zastosowanie odnawialnych źródeł energii: Przewidziano instalację paneli fotowoltaicznych, które umożliwią wytwarzanie energii elektrycznej z odnawialnych źródeł, zmniejszając uzależnienie od tradycyjnych paliw kopalnych.</w:t>
      </w:r>
    </w:p>
    <w:p w14:paraId="5C08E1A1" w14:textId="225AD701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Zrównoważone materiały budowlane: Kryteria zamówień obejmą preferencję dla materiałów niskoemisyjnych oraz produkowanych w sposób zrównoważony, co ograniczy ślad węglowy związany z realizacją projektu.</w:t>
      </w:r>
    </w:p>
    <w:p w14:paraId="5BC4D153" w14:textId="4F45F249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Ochrona zasobów wodnych: W procesie budowy i eksploatacji obiektu zastosowane zostaną systemy retencji wody oraz rozwiązania minimalizujące jej zużycie, takie jak instalacje sanitarne z mechanizmami oszczędzania wody.</w:t>
      </w:r>
    </w:p>
    <w:p w14:paraId="289F5650" w14:textId="6D9D1912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Zarządzanie odpadami: Procedury zamówień uwzględnią wymagania dotyczące gospodarki odpadami, w tym obowiązek recyklingu odpadów budowlanych oraz ograniczenie ich ilości generowanej podczas realizacji projektu.</w:t>
      </w:r>
    </w:p>
    <w:p w14:paraId="03BF09E4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Zielona infrastruktura:</w:t>
      </w:r>
    </w:p>
    <w:p w14:paraId="52EB269A" w14:textId="73ACBD15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proofErr w:type="gram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kostka</w:t>
      </w:r>
      <w:proofErr w:type="gram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brukowa o dużej przepuszczalności lub inne systemy umożliwiające wsiąkanie wody opadowej do gruntu</w:t>
      </w:r>
    </w:p>
    <w:p w14:paraId="2234B352" w14:textId="31B1BEB6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proofErr w:type="gram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standardy</w:t>
      </w:r>
      <w:proofErr w:type="gram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ochrony drzew, obejmujące zabezpieczenie pni, koron i systemów korzeniowych przed uszkodzeniami mechanicznymi. </w:t>
      </w:r>
    </w:p>
    <w:p w14:paraId="5AD00E4E" w14:textId="6CB19F7E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proofErr w:type="gram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zaplanowano</w:t>
      </w:r>
      <w:proofErr w:type="gram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nowe nasadzenia drzew, krzewów i roślinności niskiej, które będą dostosowane do lokalnych warunków klimatyczno-glebowych. </w:t>
      </w:r>
    </w:p>
    <w:p w14:paraId="7AC1A50B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Nowoczesne technologie i innowacje:</w:t>
      </w:r>
    </w:p>
    <w:p w14:paraId="71E5879C" w14:textId="75409E28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Inteligentne systemy zarządzania budynkiem (BMS - </w:t>
      </w:r>
      <w:proofErr w:type="spellStart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Building</w:t>
      </w:r>
      <w:proofErr w:type="spellEnd"/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Management System). Automatyczne oświetlenie LED dostosowujące się do warunków oświetleniowych, co zmniejszy zużycie energii. Inteligentne sterowanie ogrzewaniem i wentylacją, zapewniające optymalne warunki pracy i oszczędność energii. Monitorowanie zużycia mediów, takich jak woda, energia elektryczna i gaz.</w:t>
      </w:r>
    </w:p>
    <w:p w14:paraId="0D906C2D" w14:textId="64E1032F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lastRenderedPageBreak/>
        <w:t>Monitoring wizyjny (CCTV): Kamery (budynek i teren) z funkcją rozpoznawania ruchu i rejestrowania zdarzeń w wysokiej rozdzielczości, zdalny dostęp do nagrań.</w:t>
      </w:r>
    </w:p>
    <w:p w14:paraId="7892C19A" w14:textId="7BD5701C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System alarmowy: Innowacyjny system powiadomień automatycznych, który łączy funkcje wykrywania dymu, wycieków gazu i innych zagrożeń.</w:t>
      </w:r>
    </w:p>
    <w:p w14:paraId="311A272F" w14:textId="5950CDF9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Powiadomienia wysyłane w czasie rzeczywistym na urządzenia mobilne strażaków. Budynek OSP zostanie podłączony do systemów miejskich, umożliwiając szybkie przesyłanie danych o zagrożeniach, takich jak pożary, powodzie czy wypadki. Automatyczne aktualizacje dotyczące warunków atmosferycznych i potencjalnych zagrożeń naturalnych. </w:t>
      </w:r>
    </w:p>
    <w:p w14:paraId="535E01D3" w14:textId="29DE8634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W budynku przewidziano instalację nowoczesnych systemów UPS lub generatorów, które zapewnią nieprzerwaną pracę podczas awarii sieci energetycznej.</w:t>
      </w:r>
    </w:p>
    <w:p w14:paraId="5878EDFE" w14:textId="244C859E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Automatyczne otwieranie bram garażowych i włączanie oświetlenia w momencie wezwania alarmowego.</w:t>
      </w:r>
    </w:p>
    <w:p w14:paraId="324F0A28" w14:textId="18BF3AF8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Inteligentne rozwiązania w zarządzaniu wyposażeniem - System monitorowania sprzętu:</w:t>
      </w:r>
    </w:p>
    <w:p w14:paraId="1D45750E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Cyfrowe etykiety RFID na sprzęcie strażackim pozwolą na szybkie lokalizowanie i inwentaryzację wyposażenia. Automatyczne ładowarki akumulatorów: Stacje dokujące dla urządzeń przenośnych, takich jak radiotelefony i kamery osobiste, które automatycznie monitorują stan naładowania.</w:t>
      </w:r>
    </w:p>
    <w:p w14:paraId="0CA8495F" w14:textId="3AE84BDE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Cyfryzacja i automatyzacja procesów -</w:t>
      </w:r>
      <w:r w:rsidR="00A45500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 xml:space="preserve"> </w:t>
      </w: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Aplikacje mobilne i systemy cyfrowe:</w:t>
      </w:r>
    </w:p>
    <w:p w14:paraId="2F13663A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System zarządzania operacyjnego OSP umożliwi cyfrowe planowanie dyżurów, raportowanie akcji oraz zarządzanie wyposażeniem.</w:t>
      </w:r>
    </w:p>
    <w:p w14:paraId="16459910" w14:textId="57169B00" w:rsidR="0025774A" w:rsidRPr="0025774A" w:rsidRDefault="0025774A" w:rsidP="00A45500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Cyfrowe archiwum danych:</w:t>
      </w:r>
    </w:p>
    <w:p w14:paraId="070DB410" w14:textId="77777777" w:rsidR="0025774A" w:rsidRPr="0025774A" w:rsidRDefault="0025774A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 w:rsidRPr="0025774A"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System przechowywania danych o akcjach ratunkowych, wyposażeniu i szkoleniach strażaków, dostępny w formie chmurowej.</w:t>
      </w:r>
    </w:p>
    <w:p w14:paraId="1E3C2320" w14:textId="1E78539F" w:rsidR="007D79FB" w:rsidRPr="0025774A" w:rsidRDefault="007D79FB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</w:p>
    <w:p w14:paraId="788BFE14" w14:textId="6447FA66" w:rsidR="0025774A" w:rsidRPr="0025774A" w:rsidRDefault="00A45500" w:rsidP="00A45500">
      <w:pPr>
        <w:tabs>
          <w:tab w:val="left" w:pos="426"/>
        </w:tabs>
        <w:spacing w:after="0" w:line="276" w:lineRule="auto"/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</w:pPr>
      <w:r>
        <w:rPr>
          <w:rFonts w:eastAsia="Arial Unicode MS" w:cs="Times New Roman"/>
          <w:color w:val="000000"/>
          <w:kern w:val="0"/>
          <w:sz w:val="24"/>
          <w:szCs w:val="24"/>
          <w:u w:color="000000"/>
          <w:lang w:eastAsia="pl-PL"/>
          <w14:ligatures w14:val="none"/>
        </w:rPr>
        <w:t>Opracowała: Dominika Woźniak</w:t>
      </w:r>
    </w:p>
    <w:sectPr w:rsidR="0025774A" w:rsidRPr="002577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E079A" w14:textId="77777777" w:rsidR="00A45500" w:rsidRDefault="00A45500" w:rsidP="00A45500">
      <w:pPr>
        <w:spacing w:after="0" w:line="240" w:lineRule="auto"/>
      </w:pPr>
      <w:r>
        <w:separator/>
      </w:r>
    </w:p>
  </w:endnote>
  <w:endnote w:type="continuationSeparator" w:id="0">
    <w:p w14:paraId="217A4598" w14:textId="77777777" w:rsidR="00A45500" w:rsidRDefault="00A45500" w:rsidP="00A45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46136"/>
      <w:docPartObj>
        <w:docPartGallery w:val="Page Numbers (Bottom of Page)"/>
        <w:docPartUnique/>
      </w:docPartObj>
    </w:sdtPr>
    <w:sdtEndPr/>
    <w:sdtContent>
      <w:p w14:paraId="59B85F3A" w14:textId="1835F4DC" w:rsidR="00A45500" w:rsidRDefault="00A455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9E7">
          <w:rPr>
            <w:noProof/>
          </w:rPr>
          <w:t>2</w:t>
        </w:r>
        <w:r>
          <w:fldChar w:fldCharType="end"/>
        </w:r>
      </w:p>
    </w:sdtContent>
  </w:sdt>
  <w:p w14:paraId="045415C4" w14:textId="77777777" w:rsidR="00A45500" w:rsidRDefault="00A455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9B7D7" w14:textId="77777777" w:rsidR="00A45500" w:rsidRDefault="00A45500" w:rsidP="00A45500">
      <w:pPr>
        <w:spacing w:after="0" w:line="240" w:lineRule="auto"/>
      </w:pPr>
      <w:r>
        <w:separator/>
      </w:r>
    </w:p>
  </w:footnote>
  <w:footnote w:type="continuationSeparator" w:id="0">
    <w:p w14:paraId="735D6BD8" w14:textId="77777777" w:rsidR="00A45500" w:rsidRDefault="00A45500" w:rsidP="00A45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36D7F"/>
    <w:multiLevelType w:val="hybridMultilevel"/>
    <w:tmpl w:val="CCEC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C492E"/>
    <w:multiLevelType w:val="hybridMultilevel"/>
    <w:tmpl w:val="71788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923166"/>
    <w:multiLevelType w:val="hybridMultilevel"/>
    <w:tmpl w:val="3AF42C84"/>
    <w:lvl w:ilvl="0" w:tplc="2BEEB0E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F92"/>
    <w:rsid w:val="00034D21"/>
    <w:rsid w:val="0025774A"/>
    <w:rsid w:val="0039054E"/>
    <w:rsid w:val="004249BC"/>
    <w:rsid w:val="00451143"/>
    <w:rsid w:val="004F39E7"/>
    <w:rsid w:val="005C144A"/>
    <w:rsid w:val="005F3383"/>
    <w:rsid w:val="00607E02"/>
    <w:rsid w:val="00667964"/>
    <w:rsid w:val="006B7F92"/>
    <w:rsid w:val="007D79FB"/>
    <w:rsid w:val="007E0A59"/>
    <w:rsid w:val="0093157A"/>
    <w:rsid w:val="00940396"/>
    <w:rsid w:val="00961860"/>
    <w:rsid w:val="0099464B"/>
    <w:rsid w:val="00A45500"/>
    <w:rsid w:val="00A926A0"/>
    <w:rsid w:val="00B14561"/>
    <w:rsid w:val="00BC1963"/>
    <w:rsid w:val="00DE2990"/>
    <w:rsid w:val="00F95853"/>
    <w:rsid w:val="00F9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772A"/>
  <w15:chartTrackingRefBased/>
  <w15:docId w15:val="{EB5AC30F-88E8-4214-BBBE-4815B050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B7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157A"/>
    <w:pPr>
      <w:keepNext/>
      <w:keepLines/>
      <w:spacing w:before="160" w:after="80" w:line="360" w:lineRule="auto"/>
      <w:jc w:val="center"/>
      <w:outlineLvl w:val="1"/>
    </w:pPr>
    <w:rPr>
      <w:rFonts w:ascii="Calibri" w:eastAsiaTheme="majorEastAsia" w:hAnsi="Calibri" w:cstheme="majorBidi"/>
      <w:b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F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7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7F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7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7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7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7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rukiword">
    <w:name w:val="druki word"/>
    <w:basedOn w:val="Normalny"/>
    <w:link w:val="drukiwordZnak"/>
    <w:qFormat/>
    <w:rsid w:val="00034D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iCs/>
      <w:color w:val="0070C0"/>
      <w:sz w:val="20"/>
      <w:szCs w:val="20"/>
    </w:rPr>
  </w:style>
  <w:style w:type="character" w:customStyle="1" w:styleId="drukiwordZnak">
    <w:name w:val="druki word Znak"/>
    <w:basedOn w:val="Domylnaczcionkaakapitu"/>
    <w:link w:val="drukiword"/>
    <w:rsid w:val="00034D21"/>
    <w:rPr>
      <w:rFonts w:ascii="Calibri" w:hAnsi="Calibri" w:cs="Calibri"/>
      <w:iCs/>
      <w:color w:val="0070C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6B7F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3157A"/>
    <w:rPr>
      <w:rFonts w:ascii="Calibri" w:eastAsiaTheme="majorEastAsia" w:hAnsi="Calibri" w:cstheme="majorBidi"/>
      <w:b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F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7F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7F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7F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7F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7F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7F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7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7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7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7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7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7F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7F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7F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7F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7F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7F9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45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500"/>
  </w:style>
  <w:style w:type="paragraph" w:styleId="Stopka">
    <w:name w:val="footer"/>
    <w:basedOn w:val="Normalny"/>
    <w:link w:val="StopkaZnak"/>
    <w:uiPriority w:val="99"/>
    <w:unhideWhenUsed/>
    <w:rsid w:val="00A45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1400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Dominika Woźniak</dc:creator>
  <cp:keywords/>
  <dc:description/>
  <cp:lastModifiedBy>Izabela ID. Dróżdż</cp:lastModifiedBy>
  <cp:revision>6</cp:revision>
  <dcterms:created xsi:type="dcterms:W3CDTF">2026-04-27T09:53:00Z</dcterms:created>
  <dcterms:modified xsi:type="dcterms:W3CDTF">2026-04-28T12:22:00Z</dcterms:modified>
</cp:coreProperties>
</file>